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21 90 vom 6. Februar 2023</w:t>
      </w:r>
    </w:p>
    <w:p>
      <w:r>
        <w:t>VS Kantonsgericht, 2023-02-06, FR</w:t>
      </w:r>
    </w:p>
    <w:p>
      <w:r>
        <w:rPr>
          <w:b/>
        </w:rPr>
        <w:t xml:space="preserve">Quelle: </w:t>
      </w:r>
      <w:r>
        <w:t>https://mcp.opencaselaw.ch/entscheid/vs_gerichte_S2 21 90</w:t>
      </w:r>
    </w:p>
    <w:p>
      <w:r>
        <w:t>FR: VS_GERICHTE S2 21 90 du 6 février 2023</w:t>
      </w:r>
    </w:p>
    <w:p>
      <w:r>
        <w:t>IT: VS_GERICHTE S2 21 90 del 6 febbraio 2023</w:t>
      </w:r>
    </w:p>
    <w:p>
      <w:pPr>
        <w:pStyle w:val="Heading2"/>
      </w:pPr>
      <w:r>
        <w:t>Regeste</w:t>
      </w:r>
    </w:p>
    <w:p>
      <w:r>
        <w:t>S2 21 90 JUGEMENT DU 6 FÉVRIER 2023 Tribunal cantonal du Valais Cour des assurances sociales Composition : Candido Prada, président ; Thomas Brunner et Christophe Joris, juges ; Simon Hausammann, greffier en la cause X _________, recourant, représenté par Maître Jean-Michel Duc, avocat, 1002 Lausanne contre CAISSE NATIONALE SUISSE D'ASSURANCE EN CAS D'ACCIDENTS (CNA), 6004 Lucerne, intimée, représentée par Maître Didier Elsig, avocat, 1001 Lausanne (art. 18 LAA ; revenu d’invalide, abattement)</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Remis à la poste le 3 septembre 2021, le présent recours à l'encontre de la décision sur opposition du 6 juillet précédent, a été interjeté dans le délai légal de trente jours, prolongé des féries estivales (art. 38 al. 4 et 60 LPGA) et devant l’autorité compétente à raison du lieu et de la matière (art. 56, 57 et 58 LPGA ; art. 81a al. 1 LPJA). Le recourant ayant quitté la Suisse au 31 mai 2021, la Cour de céans est compétente comme tribunal des assurances du canton de son dernier domicile en Suisse (58 al. 2 LPGA). Le recours</w:t>
      </w:r>
    </w:p>
    <w:p>
      <w:r>
        <w:t>- 8 - répond par ailleurs aux autres conditions formelles de recevabilité (art. 61 let. b LPGA), de sorte qu’il convient d’entrer en matière.</w:t>
      </w:r>
    </w:p>
    <w:p>
      <w:r>
        <w:rPr>
          <w:b/>
        </w:rPr>
        <w:t>E. 2</w:t>
      </w:r>
    </w:p>
    <w:p>
      <w:r>
        <w:t>Le litige porte sur le droit du recourant à une rente d’invalidité. Seuls le revenu d’invalide et plus précisément le taux d’abattement opéré sur celui-ci sont remis en cause.</w:t>
      </w:r>
    </w:p>
    <w:p>
      <w:r>
        <w:rPr>
          <w:b/>
        </w:rPr>
        <w:t>E. 2.1</w:t>
      </w:r>
    </w:p>
    <w:p>
      <w:r>
        <w:t>Selon l'article 18 alinéa 1 LAA, l'assuré a droit à une rente d'invalidité s'il est invalide (art. 8 LPGA) à 10% au moins par suite d'un accident. Le droit à la rente prend naissance dès qu'il n'y a plus à attendre de la continuation du traitement médical une sensible amélioration de l'état de l'assuré et que les éventuelles mesures de réadaptation de l'assurance-invalidité ont été menées à terme, le droit au traitement médical et aux indemnités journalières cessant dès la naissance du droit à la rente (art. 19 al. 1 LAA). Est réputée invalidité l'incapacité de gain totale ou partielle qui est présumée permanente ou de longue durée (art. 8 al. 1 LPGA). Selon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 de plus, il n'y a incapacité de gain que si celle-ci n'est pas objectivement surmontable (al. 2). L'invalidité est une notion économique et non médicale. Les critères médico-théoriques ne sont pas déterminants, mais les répercussions de l'atteinte à la santé sur la capacité de gain le sont (cf. par analogie, RAMA 1991 n° U 130 p. 272 consid. 3b ; voir aussi ATF 114 V 314 consid. 3c). Ainsi le taux d'invalidité ne se confond pas nécessairement avec le taux d'incapacité fonctionnelle déterminé par le médecin, ce sont les conséquences économiques objectives de l'incapacité fonctionnelle qu'il importe d'évaluer (ATF 110 V 275 consid. 4a).</w:t>
      </w:r>
    </w:p>
    <w:p>
      <w:r>
        <w:rPr>
          <w:b/>
        </w:rPr>
        <w:t>E. 2.2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w:t>
      </w:r>
    </w:p>
    <w:p>
      <w:r>
        <w:t>- 9 -</w:t>
      </w:r>
    </w:p>
    <w:p>
      <w:r>
        <w:rPr>
          <w:b/>
        </w:rPr>
        <w:t>E. 2.2.1</w:t>
      </w:r>
    </w:p>
    <w:p>
      <w:r>
        <w:t>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8C_610/2017 du 3 avril 2018 consid. 3.3.1). On se fondera, sur ce point, sur les renseignements communiqués par l’employeur ou, à défaut, sur l’évolution des salaires nominaux (arrêt 9C_192/2014 du 23 septembre 2014 consid. 4.2). Le salaire réalisé en dernier lieu par l’assuré comprend tous les revenus d’une activité lucrative (y compris les gains accessoires, la rémunération des heures supplémentaires effectuées de manière régulière) soumis aux cotisations AVS (ATF 139 V 28 consid. 3.3.2 ; 135 V 297 consid. 5.1 ; 134 V322 consid. 4.1 ; arrêt 8C_589/2018 du 4 juillet 2019 consid. 6.2). Ne font pas partie du revenu déterminant les frais accessoires au salaire, qui sont à la charge de l’employeur et qui ne sont pas soumis aux cotisations AVS. Le gain assuré comprend en particulier les allocations familiales, lesquelles ne sont pas prises en compte dans le calcul du revenu sans invalidité (arrêt 8C_733/2013 du 5 septembre 2014 consid. 5 et la référence).</w:t>
      </w:r>
    </w:p>
    <w:p>
      <w:r>
        <w:rPr>
          <w:b/>
        </w:rPr>
        <w:t>E. 2.2.2</w:t>
      </w:r>
    </w:p>
    <w:p>
      <w:r>
        <w:t>Le revenu avec invalidité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 ATF 135 V 297 consid. 5.2 et 129 V 472 consid. 4.2.1 ; arrêts 8C_171/2021 du 11 décembre 2021 consid. 3.3 et 4.3, 9C_843/2015 du 7 avril 2016 consid. 5.2). Pour une personne ne disposant d’aucune formation professionnelle dans une activité adaptée, il convient en règle générale de se fonder sur les salaires bruts standardisés (valeur centrale) dans l’économie privée (tableau TA1_skill_level), tous secteurs confondus (RAMA 2001 n° U 439 p. 347). Les salaires bruts standardisés dans l’ESS correspondent à une moyenne de travail de 40 heures par semaine et il convient de les</w:t>
      </w:r>
    </w:p>
    <w:p>
      <w:r>
        <w:t>- 10 -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et 129 V 222).</w:t>
      </w:r>
    </w:p>
    <w:p>
      <w:r>
        <w:rPr>
          <w:b/>
        </w:rPr>
        <w:t>E. 2.3</w:t>
      </w:r>
    </w:p>
    <w:p>
      <w:r>
        <w:t>Le Tribunal fédéral a considéré, pour des raisons liées au respect du principe constitutionnel de l'égalité de traitement, qu'il n'y avait pas lieu de tenir compte de données salariales régionales, et à plus forte raison cantonales (arrêts 9C_535/2019 du 31 octobre 2019 consid. 4 ; 8C_744/2011 du 25 avril 2012 consid. 5.2 et les références, in SVR 2012 UV n° 26 p. 93 ; voir également arrêts I 820/06 du 4 septembre 2007 consid. 3.3 et U 75/03 du 12 octobre 2006 consid. 8, in SVR 2007 UV n° 17 p. 56). En outre, le caractère irréaliste des possibilités de travail doit découler de l'atteinte à la santé - puisqu'une telle atteinte est indispensable à la reconnaissance de l'invalidité (art.</w:t>
      </w:r>
    </w:p>
    <w:p>
      <w:r>
        <w:rPr>
          <w:b/>
        </w:rPr>
        <w:t>E. 2.4</w:t>
      </w:r>
    </w:p>
    <w:p>
      <w:r>
        <w:t>L’assuré peut, selon sa situation personnelle, voir ses perspectives salariales être réduites par des facteurs tels que le handicap, les années de service, la nationalité, le titre de séjour ou le taux d’occupation. Une évaluation globale des effets de ces circonstances sur le revenu d’invalide est nécessaire. La jurisprudence admet une déduction maximale de 25% pour en tenir compte (ATF 129 V 472 consid. 4.2.3 ; 126 V 75). L'étendue de l'abattement (justifié dans un cas concret) constitue une question typique relevant du pouvoir d'appréciation.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w:t>
      </w:r>
    </w:p>
    <w:p>
      <w:r>
        <w:t>- 11 - il doit s'appuyer sur des circonstances de nature à faire apparaître sa propre appréciation comme la mieux appropriée (ATF 137 V 71 consid. 5.2 ; 126 V 75 consid. 6). 3. En l’occurrence, la stabilisation du cas du recourant et la pleine capacité de travail qui lui a été reconnue dans une activité adaptée (pas de port de charges au-dessus de 15 kilos, pas de marche prolongée ni en terrain irrégulier de manière répétée, pas d’activité contraignante pour le genou telle que des positions accroupies ou des positions à genoux maintenues de façon prolongée, pas d’utilisation répétée d’escaliers avec port de charges, pas d’utilisation répétée d’échelles ou de travaux sur des échafaudages) ne sont pas remises en cause. L’intéressé conteste cependant son taux d’invalidité de 7%, singulièrement la déduction de 5% que l’intimée a opéré sur son revenu d’invalide. 3.1. Il est premièrement relevé, et cela est incontesté, que la CNA pouvait avec raison se fonder sur les données statistiques résultant des tables de l’ESS pour définir le revenu d’invalide du recourant, dans la mesure où ce dernier n’avait pas repris d’activité lucrative lui permettant de mettre pleinement en valeur sa capacité de travail résiduelle. A cet égard, il convient de se référer à la version de l’ESS publiée au moment déterminant de la décision querellée (ATF 143 V 295 consid. 4 ; arrêt 8C_655/2016 du 4 août 2017 consid. 6.3). Dans la mesure où l’ESS 2020 a été publiée le 23 août 2022, soit postérieurement à la décision sur opposition querellée du 6 juillet 2021, l’intimée a correctement appliqué la table TA1_skill_level pour le secteur privé de l’ESS 2018 (publiée le 26 octobre 2018). La CNA a ensuite, à juste titre, pris en considération la valeur statistique médiane de 5417 fr. de cette table, puis adapté le montant annuel brut (5417 x 12) à l’évolution nominale des salaires (0.9% en 2019, 0.8% en 2020 et 0.5% en 2021 selon l’estimation trimestrielle) et pris en compte la durée usuelle du travail de 41.7 heures par semaine (cf. statistiques OFS, Indice des salaires nominaux par branches [Tous les secteurs] et Durée normale du travail dans les entreprises selon la division économique [Tous les secteurs]) pour arriver sur un revenu d’invalide de 69 268 fr. 20. 3.2. A ce montant, l’intimée a opéré un abattement de 5%, le portant à 65 805 francs. Selon le recourant, l’ensemble des circonstances personnelles et professionnelles justifieraient une déduction supérieure, soit un abattement de 15%, ce qui porterait par conséquent son taux d’invalidité à 17% et lui ouvrirait le droit à une rente d’invalidité.</w:t>
      </w:r>
    </w:p>
    <w:p>
      <w:r>
        <w:t>- 12 - 3.2.1. Premièrement, le recourant prétend que ses limitations fonctionnelles l’entraveraient significativement dans la réalisation d’une activité professionnelle, en particulier dans les activités dites lourdes, lesquelles sont à son avis mieux rémunérées que celles pour lesquelles il a conservé une capacité de travail. Cet argument est cependant peu relevant, dès lors que la CNA a justement retenu qu’il ne pouvait plus exercer une activité lourde et a ainsi opéré la comparaison des revenus sur la base d’un salaire qui pouvait être réalisé par le recourant. En outre, bon nombre d’activités comprises dans le secteur « 2 production » demeurent parfaitement adaptées à ses limitations fonctionnelles et certaines d’entre elles sont par ailleurs moins bien rémunérées que celles du secteur « 3 services ». L’on précisera en outre que le niveau de compétence 1 de l’ESS s’applique aux assurés qui ne peuvent plus accomplir leur ancienne activité parce qu'elle est physiquement trop astreignante pour leur état de santé, mais qui conservent néanmoins une capacité de travail importante dans des travaux légers, ce qui est le cas du recourant. Par cet argument, le recourant conteste en réalité la valeur retenue par l’intimée pour déterminer son revenu d’invalide. Cela étant, conformément à la jurisprudence, il convient de se référer à la statistique des salaires brutes standardisés en se fondant toujours sur la valeur médiane (ATF 124 V 321 consid. 3b/aa), soit en l’occurrence 5417 francs. Ce salaire statistique est suffisamment représentatif de ce que les assurés seraient en mesure de réaliser en tant qu'invalides dès lors qu'il recouvre un large éventail d'activités variées et non qualifiées (branche d’activités), n'impliquant pas de formation particulière, et compatibles avec des limitations fonctionnelles peu contraignantes (arrêts 9C_603/2015 du 25 avril 2016 consid. 8.1 et 9C_242/2012 du 13 août 2012 consid. 3). Un abattement à ce titre ne pourrait être pris en considération que si, sur un marché du travail équilibré, il n’y aurait plus un éventail suffisamment large d’activités accessibles pour l’intéressé, ce qui n’est pas le cas en l’occurrence (arrêt 8C_174/2019 du 9 juillet 2019 consid. 5.2.2). Le recourant soutient également qu’un abattement serait justifié, dans la mesure où il serait limité dans ses capacités même dans une activité légère (ATF 124 V 231 consid. 3b/bb). Cela ne ressort cependant nullement du dossier. Au contraire, les pièces médicales nous apprennent que sa situation s’est améliorée après sa dernière intervention chirurgicale avec une récupération progressive de ses capacités fonctionnelles et une diminution de ses douleurs. Pour rappel, le Dr E _________ estimait déjà le 11 septembre 2020 qu’une reprise à temps plein serait possible dans une activité évitant le travail en montée ou en descente d’escaliers, d’échafaudages ou</w:t>
      </w:r>
    </w:p>
    <w:p>
      <w:r>
        <w:t>- 13 - d’escabeaux, le port de charges au-dessus de 15 kilos et le travail à genoux ou en position accroupie (cf. rapport du 11 septembre 2020 ; pièce 241). Lors de son contrôle du 19 janvier 2021, il a confirmé cela sans aucunement indiquer qu’une limitation subsisterait dans une activité adaptée. Du reste, s’étant expressément positionné sur la capacité de travail de son patient dans ses différents rapports, il n’aurait pas manqué de mentionner une éventuelle diminution de son rendement, de sorte que cet aspect était inclus dans l’évaluation de la capacité de travail. Le recourant ne peut ainsi rien tirer du silence du Dr E _________ sur ce point et il lui incombait, le cas échéant, de produire tout avis médical qui aurait fait état d’une diminution effective de son rendement. En outre, s’il ressort certes du rapport du Dr E _________ qu’il souhaitait procéder à une nouvelle évaluation le 21 mai 2021, ce dernier a cependant confirmé, le 26 janvier 2021, que le cas était stabilisé et que les limitations fonctionnelles de son patient étaient définitives (cf. rapport du 26 janvier 2021 ; pièce 267). Dans cette mesure, il ne saurait être fait grief à la CNA d’avoir instruit le dossier d’une manière lacunaire, ce d’autant plus que le recourant a annoncé son départ définitif de Suisse au 31 mai 2021 (cf. pièce 306) laissant ainsi supposer que cette évaluation n’a jamais eu lieu. Aucune raison ne permet dès lors de s’écarter de l’analyse spécialisée et pleinement probante du Dr E _________. Elle est d’ailleurs confirmée par le Dr C _________ de la CRR, lequel a d’abord estimé, le 16 septembre 2020, que le pronostic de réinsertion dans une activité adaptée était favorable à terme (cf. rapport du 16 décembre 2020 ; pièce 247). Le 9 mars 2021, après avoir constaté une amélioration isocinétique, ce spécialiste a ensuite indiqué qu’une activité adaptée pouvait être reprise dès le 1er avril 2021 (cf. rapport du 9 mars 2021 ; pièce 293). Finalement, il a encore observé, dans son dernier rapport du 21 mai 2021, une progression en force maximale et en endurance rendant possible des mouvements supplémentaires (cf. rapport du 21 mai 2021 ; pièce 323). Dans ces conditions, l’on cherche en vain dans quelle mesure le recourant serait significativement entravé dans la réalisation de toute activité professionnelle. Ses limitations fonctionnelles sont en effet peu contraignantes et lui permettent d’exercer différentes activités simples et légères à temps plein. En particulier, il ne sera aucunement prétérité dans une activité de services administratifs et de soutien qui ne requièrent généralement aucune contrainte pour les genoux ni port de charges lourdes. Les limitations fonctionnelles ont en outre déjà été prises en compte dans la définition des activités pouvant encore être exercées et ne justifient à ce titre aucun abattement.</w:t>
      </w:r>
    </w:p>
    <w:p>
      <w:r>
        <w:t>- 14 - 3.2.2. Le recourant se prévaut ensuite d’un « important état algique ». Cependant, force est de constater que ses douleurs se sont continuellement réduites et ne resurgissent, au demeurant, que lorsqu’il ne respecte pas les limitations fonctionnelles (soit lors de marche prolongée, de montée ou descente, de position agenouillée ou accroupie et lors de port de charges, comme il l’indique lui-même). Sur ce point, l’on peine à suivre le recourant lorsqu’il prétend que faire du trampoline, de la marche et du vélo en extérieur seraient des « activités banales et quotidiennes » et « qui tiennent parfaitement compte de ses limitations fonctionnelles » mais pour lesquelles il présente des douleurs. Cela étant, aucun élément du dossier ne vient confirmer ses plaintes douloureuses lors d’activités respectant les limitations fonctionnelles précitées. Un abattement opéré au titre de « l’important état algique » dont il fait état n’est partant aucunement justifié. S’agissant du déficit de force, l’on relève que non seulement le Dr C _________ a noté une amélioration progressive de celui-ci, mais qu’il en a de plus tenu compte dans les limitations fonctionnelles qu’il a retenues (cf. rapport du 9 mars 2021 ; pièce 293). Ce point n’entraîne par conséquent aucun abattement. 3.2.3. Finalement, le recourant soutient que sa situation personnelle justifierait également une déduction supplémentaire sur son revenu d’invalide. Il est rappelé sur ce point que l’absence de formation ou d’expérience professionnelle ne sauraient jouer un rôle significatif sur ses perspectives salariales, dès lors que les activités adaptées envisagées (simples et répétitives de niveau de compétence 1) ne requièrent ni formation, ni expérience professionnelle spécifique (arrêt 8C_223/2007 du 20 novembre 2007 consid.6.2.2 et les références ; David Ionta, Fixation du revenu d’invalide selon l’ESS, in : Jusletter 22 octobre 2018, Rz 213). En outre, tout nouveau travail va de pair avec une période d'apprentissage (arrêt 9C_200/2017 du 14 novembre 2017 consid. 4.5). Pour les mêmes raisons, le nombre d’années de service ne saurait se voir accorder une importance significative dans le cas d’espèce (arrêt 9C_874/2014 du 2 septembre 2015 consid. 3.3.2), ce d’autant plus que le recourant n’a exercé son activité auprès du même employeur que durant quatre années et trois mois (du 18 août 2014 jusqu’à son licenciement au 30 novembre 2018 ; cf. pièces 1 et 90), ce qui ne représente manifestement pas une durée suffisamment longue pour influencer ses perspectives salariales. Concernant sa nationalité portugaise, il ne ressort pas du dossier que le recourant ait présenté des difficultés d’intégration sociale particulières depuis son arrivée en Suisse</w:t>
      </w:r>
    </w:p>
    <w:p>
      <w:r>
        <w:t>- 15 - (arrêt 9C_457/2013 du 26 décembre 2013 consid. 10.3), ni des difficultés de langue, ce dernier point n’étant de toute manière pas pertinent dans le cadre d’une activité de niveau de compétence 1 (arrêt 9C_42/2017 du 29 juin 2017 consid. 3.4). Enfin, le fait qu’il ait bénéficié d’une autorisation de séjour (permis B) pourrait en soi justifier l’application d’une déduction de 5% sur son revenu d’invalide. Depuis son départ définitif de Suisse le 31 mai 2021, cet élément a cependant perdu toute pertinence. 3.3. Dans ces circonstances, l’intimée n’a pas abusé de son pouvoir d’appréciation en retenant un abattement de 5% sur le revenu d’invalide du recourant. Les exemples cités par ce dernier concernent au demeurant des situations différentes, dans lesquelles les assurés concernés souffraient de limitations fonctionnelles plus sévères et impactant également les activités légères, à l’instar d’une alternance des positions (arrêt 8C_800/2015 du 7 juillet 2016 consid. 3.3) ou d’un besoin de pauses régulières (8C_319/2017 du 6 septembre 2017 consid. 3.3.2.1), respectivement étaient désavantagés en raison de leur âge (arrêt 9C_459/2019 du 5 novembre 2019 consid. 5.3) ou d’une absence prolongée du marché du travail (arrêts 8C_319/2017 précité et 9C_484/2016 du 10 février 2017 consid. 4.3). Le taux d’invalidité du recourant n’atteint par conséquent pas le seuil de 10% de l’article 18 alinéa 1 LAA ouvrant un droit à une rente d’invalidité. Partant, il convient de confirmer la décision sur opposition du 6 juillet 2021 et de rejeter le recours du 3 septembre 2021, sans qu’il ne soit nécessaire de compléter l’instruction (appréciation anticipée des moyens de preuve : ATF 145 I 167 consid. 4.1, 144 II 427 consid. 3.1.3 et 141 I 60 consid. 3.3). 4.1. Il n’est pas perçu de frais (art. 61 let. a aLPGA et 83 LPGA). 4.2. Vu l’issue de la cause, il n’est pas alloué de dépens au recourant (art. 61 let. g LPGA a contrario), ni à l’intimée, laquelle agit comme autorité chargée de tâches de droit public (art. 91 al. 3 LPGA ; ATF 126 V 143 consid. 4).</w:t>
      </w:r>
    </w:p>
    <w:p>
      <w:r>
        <w:t>Prononce 1. Le recours est rejeté. 2. Il n'est pas perçu de frais, ni alloué de dépens. Sion, le 6 février 2023.</w:t>
      </w:r>
    </w:p>
    <w:p>
      <w:r>
        <w:rPr>
          <w:b/>
        </w:rPr>
        <w:t>E. 7</w:t>
      </w:r>
    </w:p>
    <w:p>
      <w:r>
        <w:t>et 8 LPGA) - et non de facteurs psychosociaux ou socioculturels qui sont étrangers à la définition juridique de l'invalidité. Les facteurs personnels, tels que le statut d’étranger, les problèmes de langue, l’âge ou les problèmes sur le marché du travail (récession) ne sont ainsi pas pris en considération (arrêt 9C_286/2015 du 12 janvier 2016 consid. 4.2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